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267" w:rsidRDefault="00BD5213" w:rsidP="00EB58A0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  <w:lang w:eastAsia="fr-FR"/>
        </w:rPr>
        <w:drawing>
          <wp:inline distT="0" distB="0" distL="0" distR="0">
            <wp:extent cx="2933700" cy="126538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MF 15 BA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050" cy="1270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707" w:rsidRPr="00EB58A0" w:rsidRDefault="008C3193" w:rsidP="00EB58A0">
      <w:pPr>
        <w:jc w:val="center"/>
        <w:rPr>
          <w:rFonts w:ascii="Calibri" w:hAnsi="Calibri" w:cs="Calibri"/>
          <w:b/>
          <w:sz w:val="28"/>
          <w:szCs w:val="28"/>
        </w:rPr>
      </w:pPr>
      <w:r w:rsidRPr="00EB58A0">
        <w:rPr>
          <w:rFonts w:ascii="Calibri" w:hAnsi="Calibri" w:cs="Calibri"/>
          <w:b/>
          <w:sz w:val="28"/>
          <w:szCs w:val="28"/>
        </w:rPr>
        <w:t>Modèle de délibération relative à la désignation d’un référent déontologue pour les élus locaux</w:t>
      </w:r>
    </w:p>
    <w:p w:rsidR="008C3193" w:rsidRPr="00EB58A0" w:rsidRDefault="008C3193" w:rsidP="00EB58A0">
      <w:pPr>
        <w:jc w:val="both"/>
        <w:rPr>
          <w:rFonts w:ascii="Calibri" w:hAnsi="Calibri" w:cs="Calibri"/>
          <w:sz w:val="22"/>
          <w:szCs w:val="22"/>
        </w:rPr>
      </w:pPr>
      <w:r w:rsidRPr="00EB58A0">
        <w:rPr>
          <w:rFonts w:ascii="Calibri" w:hAnsi="Calibri" w:cs="Calibri"/>
          <w:sz w:val="22"/>
          <w:szCs w:val="22"/>
        </w:rPr>
        <w:t>Vu le Code Général des Collectivités Territoriales et notamment son article L. 1111-1-1, ainsi que les articles R. 1111-1-A et suivants dans leur rédaction à venir au 1</w:t>
      </w:r>
      <w:r w:rsidRPr="00EB58A0">
        <w:rPr>
          <w:rFonts w:ascii="Calibri" w:hAnsi="Calibri" w:cs="Calibri"/>
          <w:sz w:val="22"/>
          <w:szCs w:val="22"/>
          <w:vertAlign w:val="superscript"/>
        </w:rPr>
        <w:t>er</w:t>
      </w:r>
      <w:r w:rsidRPr="00EB58A0">
        <w:rPr>
          <w:rFonts w:ascii="Calibri" w:hAnsi="Calibri" w:cs="Calibri"/>
          <w:sz w:val="22"/>
          <w:szCs w:val="22"/>
        </w:rPr>
        <w:t xml:space="preserve"> juin 2023,</w:t>
      </w:r>
    </w:p>
    <w:p w:rsidR="008C3193" w:rsidRPr="00EB58A0" w:rsidRDefault="008C3193" w:rsidP="00EB58A0">
      <w:pPr>
        <w:jc w:val="both"/>
        <w:rPr>
          <w:rFonts w:ascii="Calibri" w:hAnsi="Calibri" w:cs="Calibri"/>
          <w:sz w:val="22"/>
          <w:szCs w:val="22"/>
        </w:rPr>
      </w:pPr>
      <w:r w:rsidRPr="00EB58A0">
        <w:rPr>
          <w:rFonts w:ascii="Calibri" w:hAnsi="Calibri" w:cs="Calibri"/>
          <w:sz w:val="22"/>
          <w:szCs w:val="22"/>
        </w:rPr>
        <w:t>Vu la loi n°2022-217 du 21 février 2022 relative à la différenciation, la décentralisation, la déconcentration et portant diverses mesures de simplification de l’action publique locale (article 218),</w:t>
      </w:r>
    </w:p>
    <w:p w:rsidR="00B40E26" w:rsidRPr="00EB58A0" w:rsidRDefault="008C3193" w:rsidP="00EB58A0">
      <w:pPr>
        <w:jc w:val="both"/>
        <w:rPr>
          <w:rFonts w:ascii="Calibri" w:hAnsi="Calibri" w:cs="Calibri"/>
          <w:sz w:val="22"/>
          <w:szCs w:val="22"/>
        </w:rPr>
      </w:pPr>
      <w:r w:rsidRPr="00EB58A0">
        <w:rPr>
          <w:rFonts w:ascii="Calibri" w:hAnsi="Calibri" w:cs="Calibri"/>
          <w:sz w:val="22"/>
          <w:szCs w:val="22"/>
        </w:rPr>
        <w:t xml:space="preserve">Vu le décret n° 2022-1520 du 6 décembre 2022 </w:t>
      </w:r>
      <w:r w:rsidR="00B40E26" w:rsidRPr="00EB58A0">
        <w:rPr>
          <w:rFonts w:ascii="Calibri" w:hAnsi="Calibri" w:cs="Calibri"/>
          <w:sz w:val="22"/>
          <w:szCs w:val="22"/>
        </w:rPr>
        <w:t>relatif au référent déontologue de l’élu local et notamment son article 1</w:t>
      </w:r>
      <w:r w:rsidR="00B40E26" w:rsidRPr="00EB58A0">
        <w:rPr>
          <w:rFonts w:ascii="Calibri" w:hAnsi="Calibri" w:cs="Calibri"/>
          <w:sz w:val="22"/>
          <w:szCs w:val="22"/>
          <w:vertAlign w:val="superscript"/>
        </w:rPr>
        <w:t>er</w:t>
      </w:r>
      <w:r w:rsidR="00B40E26" w:rsidRPr="00EB58A0">
        <w:rPr>
          <w:rFonts w:ascii="Calibri" w:hAnsi="Calibri" w:cs="Calibri"/>
          <w:sz w:val="22"/>
          <w:szCs w:val="22"/>
        </w:rPr>
        <w:t xml:space="preserve"> dont les dispositions entrent en vigueur le 1</w:t>
      </w:r>
      <w:r w:rsidR="00B40E26" w:rsidRPr="00EB58A0">
        <w:rPr>
          <w:rFonts w:ascii="Calibri" w:hAnsi="Calibri" w:cs="Calibri"/>
          <w:sz w:val="22"/>
          <w:szCs w:val="22"/>
          <w:vertAlign w:val="superscript"/>
        </w:rPr>
        <w:t>er</w:t>
      </w:r>
      <w:r w:rsidR="00B40E26" w:rsidRPr="00EB58A0">
        <w:rPr>
          <w:rFonts w:ascii="Calibri" w:hAnsi="Calibri" w:cs="Calibri"/>
          <w:sz w:val="22"/>
          <w:szCs w:val="22"/>
        </w:rPr>
        <w:t xml:space="preserve"> juin 2023,</w:t>
      </w:r>
    </w:p>
    <w:p w:rsidR="008C3193" w:rsidRPr="00EB58A0" w:rsidRDefault="00B40E26" w:rsidP="00EB58A0">
      <w:pPr>
        <w:jc w:val="both"/>
        <w:rPr>
          <w:rFonts w:ascii="Calibri" w:hAnsi="Calibri" w:cs="Calibri"/>
          <w:sz w:val="22"/>
          <w:szCs w:val="22"/>
        </w:rPr>
      </w:pPr>
      <w:r w:rsidRPr="00EB58A0">
        <w:rPr>
          <w:rFonts w:ascii="Calibri" w:hAnsi="Calibri" w:cs="Calibri"/>
          <w:sz w:val="22"/>
          <w:szCs w:val="22"/>
        </w:rPr>
        <w:t>Vu l’arrêté du 6 décembre 2023 p</w:t>
      </w:r>
      <w:r w:rsidR="008C3193" w:rsidRPr="00EB58A0">
        <w:rPr>
          <w:rFonts w:ascii="Calibri" w:hAnsi="Calibri" w:cs="Calibri"/>
          <w:sz w:val="22"/>
          <w:szCs w:val="22"/>
        </w:rPr>
        <w:t xml:space="preserve">ris en application du décret n° 2022-1520 du 6 décembre 2022 </w:t>
      </w:r>
      <w:r w:rsidRPr="00EB58A0">
        <w:rPr>
          <w:rFonts w:ascii="Calibri" w:hAnsi="Calibri" w:cs="Calibri"/>
          <w:sz w:val="22"/>
          <w:szCs w:val="22"/>
        </w:rPr>
        <w:t>relatif</w:t>
      </w:r>
      <w:r w:rsidR="008C3193" w:rsidRPr="00EB58A0">
        <w:rPr>
          <w:rFonts w:ascii="Calibri" w:hAnsi="Calibri" w:cs="Calibri"/>
          <w:sz w:val="22"/>
          <w:szCs w:val="22"/>
        </w:rPr>
        <w:t xml:space="preserve"> au référent déontologue de l’élu local,</w:t>
      </w:r>
    </w:p>
    <w:p w:rsidR="008C3193" w:rsidRPr="00EB58A0" w:rsidRDefault="008C3193" w:rsidP="00EB58A0">
      <w:pPr>
        <w:jc w:val="both"/>
        <w:rPr>
          <w:rFonts w:ascii="Calibri" w:hAnsi="Calibri" w:cs="Calibri"/>
          <w:sz w:val="22"/>
          <w:szCs w:val="22"/>
        </w:rPr>
      </w:pPr>
      <w:r w:rsidRPr="00EB58A0">
        <w:rPr>
          <w:rFonts w:ascii="Calibri" w:hAnsi="Calibri" w:cs="Calibri"/>
          <w:sz w:val="22"/>
          <w:szCs w:val="22"/>
        </w:rPr>
        <w:t xml:space="preserve">Considérant que </w:t>
      </w:r>
      <w:r w:rsidR="00B40E26" w:rsidRPr="00EB58A0">
        <w:rPr>
          <w:rFonts w:ascii="Calibri" w:hAnsi="Calibri" w:cs="Calibri"/>
          <w:sz w:val="22"/>
          <w:szCs w:val="22"/>
        </w:rPr>
        <w:t>tout élu local peut consulter un référent déontologue chargé de lui apporter tout conseil utile au respect des principes déontologiques consacrés dans la charte de l’élu local,</w:t>
      </w:r>
    </w:p>
    <w:p w:rsidR="00B40E26" w:rsidRPr="00EB58A0" w:rsidRDefault="00B40E26" w:rsidP="00EB58A0">
      <w:pPr>
        <w:jc w:val="both"/>
        <w:rPr>
          <w:rFonts w:ascii="Calibri" w:hAnsi="Calibri" w:cs="Calibri"/>
          <w:sz w:val="22"/>
          <w:szCs w:val="22"/>
        </w:rPr>
      </w:pPr>
      <w:r w:rsidRPr="00EB58A0">
        <w:rPr>
          <w:rFonts w:ascii="Calibri" w:hAnsi="Calibri" w:cs="Calibri"/>
          <w:sz w:val="22"/>
          <w:szCs w:val="22"/>
        </w:rPr>
        <w:t>Considérant que le référent déontologue ou le collège de référents déontologue doit être désignés par délibération des organes délibérants avant le 1</w:t>
      </w:r>
      <w:r w:rsidRPr="00EB58A0">
        <w:rPr>
          <w:rFonts w:ascii="Calibri" w:hAnsi="Calibri" w:cs="Calibri"/>
          <w:sz w:val="22"/>
          <w:szCs w:val="22"/>
          <w:vertAlign w:val="superscript"/>
        </w:rPr>
        <w:t>er</w:t>
      </w:r>
      <w:r w:rsidRPr="00EB58A0">
        <w:rPr>
          <w:rFonts w:ascii="Calibri" w:hAnsi="Calibri" w:cs="Calibri"/>
          <w:sz w:val="22"/>
          <w:szCs w:val="22"/>
        </w:rPr>
        <w:t xml:space="preserve"> juin 2023 ;</w:t>
      </w:r>
    </w:p>
    <w:p w:rsidR="00B40E26" w:rsidRPr="00EB58A0" w:rsidRDefault="00B40E26" w:rsidP="00EB58A0">
      <w:pPr>
        <w:jc w:val="both"/>
        <w:rPr>
          <w:rFonts w:ascii="Calibri" w:hAnsi="Calibri" w:cs="Calibri"/>
          <w:sz w:val="22"/>
          <w:szCs w:val="22"/>
        </w:rPr>
      </w:pPr>
      <w:r w:rsidRPr="00EB58A0">
        <w:rPr>
          <w:rFonts w:ascii="Calibri" w:hAnsi="Calibri" w:cs="Calibri"/>
          <w:sz w:val="22"/>
          <w:szCs w:val="22"/>
        </w:rPr>
        <w:t xml:space="preserve">Considérant que les missions de référent déontologue sont exercées en toute indépendance et </w:t>
      </w:r>
      <w:r w:rsidR="00EB7530" w:rsidRPr="00EB58A0">
        <w:rPr>
          <w:rFonts w:ascii="Calibri" w:hAnsi="Calibri" w:cs="Calibri"/>
          <w:sz w:val="22"/>
          <w:szCs w:val="22"/>
        </w:rPr>
        <w:t>impartialité</w:t>
      </w:r>
      <w:r w:rsidRPr="00EB58A0">
        <w:rPr>
          <w:rFonts w:ascii="Calibri" w:hAnsi="Calibri" w:cs="Calibri"/>
          <w:sz w:val="22"/>
          <w:szCs w:val="22"/>
        </w:rPr>
        <w:t xml:space="preserve"> par des personnes choisies en raison de leur expérience et de leurs compétences ; que le référent déontologue ne peut être choisi </w:t>
      </w:r>
      <w:r w:rsidR="00EB7530" w:rsidRPr="00EB58A0">
        <w:rPr>
          <w:rFonts w:ascii="Calibri" w:hAnsi="Calibri" w:cs="Calibri"/>
          <w:sz w:val="22"/>
          <w:szCs w:val="22"/>
        </w:rPr>
        <w:t>parmi</w:t>
      </w:r>
      <w:r w:rsidRPr="00EB58A0">
        <w:rPr>
          <w:rFonts w:ascii="Calibri" w:hAnsi="Calibri" w:cs="Calibri"/>
          <w:sz w:val="22"/>
          <w:szCs w:val="22"/>
        </w:rPr>
        <w:t xml:space="preserve"> les personnes exerçant au sein de la collectivité auprès desquelles elles sont désignées un mandant mandat d’élu local.</w:t>
      </w:r>
    </w:p>
    <w:p w:rsidR="00B40E26" w:rsidRPr="00EB58A0" w:rsidRDefault="00B40E26" w:rsidP="00EB58A0">
      <w:pPr>
        <w:jc w:val="both"/>
        <w:rPr>
          <w:rFonts w:ascii="Calibri" w:hAnsi="Calibri" w:cs="Calibri"/>
          <w:sz w:val="22"/>
          <w:szCs w:val="22"/>
        </w:rPr>
      </w:pPr>
      <w:r w:rsidRPr="00EB58A0">
        <w:rPr>
          <w:rFonts w:ascii="Calibri" w:hAnsi="Calibri" w:cs="Calibri"/>
          <w:sz w:val="22"/>
          <w:szCs w:val="22"/>
        </w:rPr>
        <w:t xml:space="preserve">Considérant </w:t>
      </w:r>
      <w:r w:rsidR="00EB7530" w:rsidRPr="00EB58A0">
        <w:rPr>
          <w:rFonts w:ascii="Calibri" w:hAnsi="Calibri" w:cs="Calibri"/>
          <w:sz w:val="22"/>
          <w:szCs w:val="22"/>
        </w:rPr>
        <w:t>que plusieurs collectivités territoriales, groupements de collectivités territoriales ou syndicats mixtes visés à l’article L. 5721-2 peuvent désigner un même référent déontologue pour leurs élus par délibération concordantes ;</w:t>
      </w:r>
    </w:p>
    <w:p w:rsidR="00EB7530" w:rsidRPr="00EB58A0" w:rsidRDefault="00EB7530" w:rsidP="00EB58A0">
      <w:pPr>
        <w:jc w:val="both"/>
        <w:rPr>
          <w:rFonts w:ascii="Calibri" w:hAnsi="Calibri" w:cs="Calibri"/>
          <w:sz w:val="22"/>
          <w:szCs w:val="22"/>
        </w:rPr>
      </w:pPr>
      <w:r w:rsidRPr="00EB58A0">
        <w:rPr>
          <w:rFonts w:ascii="Calibri" w:hAnsi="Calibri" w:cs="Calibri"/>
          <w:sz w:val="22"/>
          <w:szCs w:val="22"/>
        </w:rPr>
        <w:t>Considérant l’accord de la personne désignée ;</w:t>
      </w:r>
    </w:p>
    <w:p w:rsidR="00EB7530" w:rsidRPr="00EB58A0" w:rsidRDefault="00EB7530" w:rsidP="00EB58A0">
      <w:pPr>
        <w:jc w:val="both"/>
        <w:rPr>
          <w:rFonts w:ascii="Calibri" w:hAnsi="Calibri" w:cs="Calibri"/>
          <w:sz w:val="22"/>
          <w:szCs w:val="22"/>
        </w:rPr>
      </w:pPr>
      <w:r w:rsidRPr="00EB58A0">
        <w:rPr>
          <w:rFonts w:ascii="Calibri" w:hAnsi="Calibri" w:cs="Calibri"/>
          <w:sz w:val="22"/>
          <w:szCs w:val="22"/>
        </w:rPr>
        <w:t>Après en avoir délibéré (modalités de vote à préciser), le conseil municipal / communautaire décide :</w:t>
      </w:r>
    </w:p>
    <w:p w:rsidR="00EB7530" w:rsidRPr="00EB58A0" w:rsidRDefault="00EB7530" w:rsidP="00EB58A0">
      <w:pPr>
        <w:jc w:val="both"/>
        <w:rPr>
          <w:rFonts w:ascii="Calibri" w:hAnsi="Calibri" w:cs="Calibri"/>
          <w:b/>
          <w:sz w:val="22"/>
          <w:szCs w:val="22"/>
        </w:rPr>
      </w:pPr>
      <w:r w:rsidRPr="00EB58A0">
        <w:rPr>
          <w:rFonts w:ascii="Calibri" w:hAnsi="Calibri" w:cs="Calibri"/>
          <w:b/>
          <w:sz w:val="22"/>
          <w:szCs w:val="22"/>
        </w:rPr>
        <w:t>Article 1 – Désignation du référent déontologue</w:t>
      </w:r>
    </w:p>
    <w:p w:rsidR="00EB7530" w:rsidRPr="00EB58A0" w:rsidRDefault="00EB7530" w:rsidP="00EB58A0">
      <w:pPr>
        <w:jc w:val="both"/>
        <w:rPr>
          <w:rFonts w:ascii="Calibri" w:hAnsi="Calibri" w:cs="Calibri"/>
          <w:sz w:val="22"/>
          <w:szCs w:val="22"/>
        </w:rPr>
      </w:pPr>
      <w:r w:rsidRPr="00EB58A0">
        <w:rPr>
          <w:rFonts w:ascii="Calibri" w:hAnsi="Calibri" w:cs="Calibri"/>
          <w:sz w:val="22"/>
          <w:szCs w:val="22"/>
        </w:rPr>
        <w:t xml:space="preserve">M. …………………………. </w:t>
      </w:r>
      <w:proofErr w:type="gramStart"/>
      <w:r w:rsidRPr="00EB58A0">
        <w:rPr>
          <w:rFonts w:ascii="Calibri" w:hAnsi="Calibri" w:cs="Calibri"/>
          <w:sz w:val="22"/>
          <w:szCs w:val="22"/>
        </w:rPr>
        <w:t>est</w:t>
      </w:r>
      <w:proofErr w:type="gramEnd"/>
      <w:r w:rsidRPr="00EB58A0">
        <w:rPr>
          <w:rFonts w:ascii="Calibri" w:hAnsi="Calibri" w:cs="Calibri"/>
          <w:sz w:val="22"/>
          <w:szCs w:val="22"/>
        </w:rPr>
        <w:t xml:space="preserve"> nommé en qualité de référent déontologue des élus, pour une durée de  …………………………. (</w:t>
      </w:r>
      <w:proofErr w:type="gramStart"/>
      <w:r w:rsidRPr="00EB58A0">
        <w:rPr>
          <w:rFonts w:ascii="Calibri" w:hAnsi="Calibri" w:cs="Calibri"/>
          <w:sz w:val="22"/>
          <w:szCs w:val="22"/>
        </w:rPr>
        <w:t>préciser</w:t>
      </w:r>
      <w:proofErr w:type="gramEnd"/>
      <w:r w:rsidRPr="00EB58A0">
        <w:rPr>
          <w:rFonts w:ascii="Calibri" w:hAnsi="Calibri" w:cs="Calibri"/>
          <w:sz w:val="22"/>
          <w:szCs w:val="22"/>
        </w:rPr>
        <w:t xml:space="preserve"> éventuellement jusqu’à l’expiration du mandat 2020-2026). Au terme de cette durée, il peut être procédé, dans les mêmes conditions, au renouvellement de ses missions.</w:t>
      </w:r>
    </w:p>
    <w:p w:rsidR="00EB7530" w:rsidRPr="00EB58A0" w:rsidRDefault="00EB7530" w:rsidP="00EB58A0">
      <w:pPr>
        <w:jc w:val="both"/>
        <w:rPr>
          <w:rFonts w:ascii="Calibri" w:hAnsi="Calibri" w:cs="Calibri"/>
          <w:sz w:val="22"/>
          <w:szCs w:val="22"/>
        </w:rPr>
      </w:pPr>
      <w:r w:rsidRPr="00EB58A0">
        <w:rPr>
          <w:rFonts w:ascii="Calibri" w:hAnsi="Calibri" w:cs="Calibri"/>
          <w:sz w:val="22"/>
          <w:szCs w:val="22"/>
        </w:rPr>
        <w:lastRenderedPageBreak/>
        <w:t>A la demande du référent déontologue, il peut être mis fin à ses fonctions.</w:t>
      </w:r>
    </w:p>
    <w:p w:rsidR="00EB7530" w:rsidRPr="00EB58A0" w:rsidRDefault="00EB7530" w:rsidP="00EB58A0">
      <w:pPr>
        <w:jc w:val="both"/>
        <w:rPr>
          <w:rFonts w:ascii="Calibri" w:hAnsi="Calibri" w:cs="Calibri"/>
          <w:sz w:val="22"/>
          <w:szCs w:val="22"/>
        </w:rPr>
      </w:pPr>
      <w:r w:rsidRPr="00EB58A0">
        <w:rPr>
          <w:rFonts w:ascii="Calibri" w:hAnsi="Calibri" w:cs="Calibri"/>
          <w:sz w:val="22"/>
          <w:szCs w:val="22"/>
        </w:rPr>
        <w:t xml:space="preserve">Ajouter éventuellement quelques lignes de présentation du référent déontologue (expérience professionnelle, profils, </w:t>
      </w:r>
      <w:proofErr w:type="spellStart"/>
      <w:r w:rsidRPr="00EB58A0">
        <w:rPr>
          <w:rFonts w:ascii="Calibri" w:hAnsi="Calibri" w:cs="Calibri"/>
          <w:sz w:val="22"/>
          <w:szCs w:val="22"/>
        </w:rPr>
        <w:t>etc</w:t>
      </w:r>
      <w:proofErr w:type="spellEnd"/>
      <w:r w:rsidRPr="00EB58A0">
        <w:rPr>
          <w:rFonts w:ascii="Calibri" w:hAnsi="Calibri" w:cs="Calibri"/>
          <w:sz w:val="22"/>
          <w:szCs w:val="22"/>
        </w:rPr>
        <w:t> : voir plaquette transmise AMF63).</w:t>
      </w:r>
    </w:p>
    <w:p w:rsidR="00EB7530" w:rsidRPr="00EB58A0" w:rsidRDefault="00EB7530" w:rsidP="00EB58A0">
      <w:pPr>
        <w:jc w:val="both"/>
        <w:rPr>
          <w:rFonts w:ascii="Calibri" w:hAnsi="Calibri" w:cs="Calibri"/>
          <w:b/>
          <w:sz w:val="22"/>
          <w:szCs w:val="22"/>
        </w:rPr>
      </w:pPr>
      <w:r w:rsidRPr="00EB58A0">
        <w:rPr>
          <w:rFonts w:ascii="Calibri" w:hAnsi="Calibri" w:cs="Calibri"/>
          <w:b/>
          <w:sz w:val="22"/>
          <w:szCs w:val="22"/>
        </w:rPr>
        <w:t>Article 2 – Modalités de saisine du référent</w:t>
      </w:r>
    </w:p>
    <w:p w:rsidR="00EB7530" w:rsidRPr="00EB58A0" w:rsidRDefault="00EB7530" w:rsidP="00EB58A0">
      <w:pPr>
        <w:jc w:val="both"/>
        <w:rPr>
          <w:rFonts w:ascii="Calibri" w:hAnsi="Calibri" w:cs="Calibri"/>
          <w:sz w:val="22"/>
          <w:szCs w:val="22"/>
        </w:rPr>
      </w:pPr>
      <w:r w:rsidRPr="00EB58A0">
        <w:rPr>
          <w:rFonts w:ascii="Calibri" w:hAnsi="Calibri" w:cs="Calibri"/>
          <w:sz w:val="22"/>
          <w:szCs w:val="22"/>
        </w:rPr>
        <w:t>Le référent déontologue peut être saisi par tout élu local de la collectivité.</w:t>
      </w:r>
    </w:p>
    <w:p w:rsidR="00EB7530" w:rsidRPr="00EB58A0" w:rsidRDefault="00EB7530" w:rsidP="00EB58A0">
      <w:pPr>
        <w:jc w:val="both"/>
        <w:rPr>
          <w:rFonts w:ascii="Calibri" w:hAnsi="Calibri" w:cs="Calibri"/>
          <w:sz w:val="22"/>
          <w:szCs w:val="22"/>
        </w:rPr>
      </w:pPr>
      <w:r w:rsidRPr="00EB58A0">
        <w:rPr>
          <w:rFonts w:ascii="Calibri" w:hAnsi="Calibri" w:cs="Calibri"/>
          <w:sz w:val="22"/>
          <w:szCs w:val="22"/>
        </w:rPr>
        <w:t>Le référent déontologue pourra être saisi directement par les élus, par voie écrite, de préférence par mail précisant dans son objet « Saisine du référent déontologue</w:t>
      </w:r>
      <w:r w:rsidR="00EB58A0">
        <w:rPr>
          <w:rFonts w:ascii="Calibri" w:hAnsi="Calibri" w:cs="Calibri"/>
          <w:sz w:val="22"/>
          <w:szCs w:val="22"/>
        </w:rPr>
        <w:t> </w:t>
      </w:r>
      <w:r w:rsidRPr="00EB58A0">
        <w:rPr>
          <w:rFonts w:ascii="Calibri" w:hAnsi="Calibri" w:cs="Calibri"/>
          <w:sz w:val="22"/>
          <w:szCs w:val="22"/>
        </w:rPr>
        <w:t xml:space="preserve">- Nom de la Collectivité </w:t>
      </w:r>
      <w:r w:rsidR="00EB58A0">
        <w:rPr>
          <w:rFonts w:ascii="Calibri" w:hAnsi="Calibri" w:cs="Calibri"/>
          <w:sz w:val="22"/>
          <w:szCs w:val="22"/>
        </w:rPr>
        <w:t>-</w:t>
      </w:r>
      <w:r w:rsidRPr="00EB58A0">
        <w:rPr>
          <w:rFonts w:ascii="Calibri" w:hAnsi="Calibri" w:cs="Calibri"/>
          <w:sz w:val="22"/>
          <w:szCs w:val="22"/>
        </w:rPr>
        <w:t xml:space="preserve"> Confidentiel ».</w:t>
      </w:r>
    </w:p>
    <w:p w:rsidR="00EB7530" w:rsidRPr="00EB58A0" w:rsidRDefault="00EB7530" w:rsidP="00EB58A0">
      <w:pPr>
        <w:jc w:val="both"/>
        <w:rPr>
          <w:rFonts w:ascii="Calibri" w:hAnsi="Calibri" w:cs="Calibri"/>
          <w:sz w:val="22"/>
          <w:szCs w:val="22"/>
        </w:rPr>
      </w:pPr>
      <w:r w:rsidRPr="00EB58A0">
        <w:rPr>
          <w:rFonts w:ascii="Calibri" w:hAnsi="Calibri" w:cs="Calibri"/>
          <w:sz w:val="22"/>
          <w:szCs w:val="22"/>
        </w:rPr>
        <w:t>(Ajouter éventuellement : avec l’accord des élus qui le sollicitent, la saisine du référent déontologue pourra transiter par la collectivité, dans le respect des obligations de confidentialité rappelées par l’article D. 1111-1-D du CGCT. Dans ce dernier cas, il est conseillé à la collectivité de créer une adresse mail dédiée à la saisine du référent déontologue).</w:t>
      </w:r>
    </w:p>
    <w:p w:rsidR="00EB7530" w:rsidRPr="00EB58A0" w:rsidRDefault="00EB7530" w:rsidP="00EB58A0">
      <w:pPr>
        <w:jc w:val="both"/>
        <w:rPr>
          <w:rFonts w:ascii="Calibri" w:hAnsi="Calibri" w:cs="Calibri"/>
          <w:sz w:val="22"/>
          <w:szCs w:val="22"/>
        </w:rPr>
      </w:pPr>
      <w:r w:rsidRPr="00EB58A0">
        <w:rPr>
          <w:rFonts w:ascii="Calibri" w:hAnsi="Calibri" w:cs="Calibri"/>
          <w:sz w:val="22"/>
          <w:szCs w:val="22"/>
        </w:rPr>
        <w:t>Toute demande fera l’objet d’un accusé de réception par le référent déontologue qui mentionnera la date de réception et rappellera le cadre réglementaire de la réponse.</w:t>
      </w:r>
    </w:p>
    <w:p w:rsidR="00EB7530" w:rsidRPr="00EB58A0" w:rsidRDefault="00EB7530" w:rsidP="00EB58A0">
      <w:pPr>
        <w:jc w:val="both"/>
        <w:rPr>
          <w:rFonts w:ascii="Calibri" w:hAnsi="Calibri" w:cs="Calibri"/>
          <w:sz w:val="22"/>
          <w:szCs w:val="22"/>
        </w:rPr>
      </w:pPr>
      <w:r w:rsidRPr="00EB58A0">
        <w:rPr>
          <w:rFonts w:ascii="Calibri" w:hAnsi="Calibri" w:cs="Calibri"/>
          <w:sz w:val="22"/>
          <w:szCs w:val="22"/>
        </w:rPr>
        <w:t>Le référent étudiera les éléments transmis par l’élu, pourra demander des informations complémentaires (par écrit ou à l’oral) et pourra recevoir l’élu afin de préparer son conseil.</w:t>
      </w:r>
    </w:p>
    <w:p w:rsidR="00EB7530" w:rsidRPr="00EB58A0" w:rsidRDefault="00EB7530" w:rsidP="00EB58A0">
      <w:pPr>
        <w:jc w:val="both"/>
        <w:rPr>
          <w:rFonts w:ascii="Calibri" w:hAnsi="Calibri" w:cs="Calibri"/>
          <w:b/>
          <w:sz w:val="22"/>
          <w:szCs w:val="22"/>
        </w:rPr>
      </w:pPr>
      <w:r w:rsidRPr="00EB58A0">
        <w:rPr>
          <w:rFonts w:ascii="Calibri" w:hAnsi="Calibri" w:cs="Calibri"/>
          <w:b/>
          <w:sz w:val="22"/>
          <w:szCs w:val="22"/>
        </w:rPr>
        <w:t>Article 3 – Modalité de délivrance du conseil</w:t>
      </w:r>
    </w:p>
    <w:p w:rsidR="00EB7530" w:rsidRPr="00EB58A0" w:rsidRDefault="00EB7530" w:rsidP="00EB58A0">
      <w:pPr>
        <w:jc w:val="both"/>
        <w:rPr>
          <w:rFonts w:ascii="Calibri" w:hAnsi="Calibri" w:cs="Calibri"/>
          <w:sz w:val="22"/>
          <w:szCs w:val="22"/>
        </w:rPr>
      </w:pPr>
      <w:r w:rsidRPr="00EB58A0">
        <w:rPr>
          <w:rFonts w:ascii="Calibri" w:hAnsi="Calibri" w:cs="Calibri"/>
          <w:sz w:val="22"/>
          <w:szCs w:val="22"/>
        </w:rPr>
        <w:t>Le référent déontologue doit exercer sa mission en toute indépendance et impartialité. A cet égard, il ne peut recevoir d’injonctions extérieures.</w:t>
      </w:r>
    </w:p>
    <w:p w:rsidR="00EB7530" w:rsidRPr="00EB58A0" w:rsidRDefault="00EB7530" w:rsidP="00EB58A0">
      <w:pPr>
        <w:jc w:val="both"/>
        <w:rPr>
          <w:rFonts w:ascii="Calibri" w:hAnsi="Calibri" w:cs="Calibri"/>
          <w:sz w:val="22"/>
          <w:szCs w:val="22"/>
        </w:rPr>
      </w:pPr>
      <w:r w:rsidRPr="00EB58A0">
        <w:rPr>
          <w:rFonts w:ascii="Calibri" w:hAnsi="Calibri" w:cs="Calibri"/>
          <w:sz w:val="22"/>
          <w:szCs w:val="22"/>
        </w:rPr>
        <w:t>Le référent communiquera l’avis à l’élu concerné dans un délai raisonnable et proportionné à la complexité de la demande, par écrit ou à l’</w:t>
      </w:r>
      <w:r w:rsidR="00EB58A0" w:rsidRPr="00EB58A0">
        <w:rPr>
          <w:rFonts w:ascii="Calibri" w:hAnsi="Calibri" w:cs="Calibri"/>
          <w:sz w:val="22"/>
          <w:szCs w:val="22"/>
        </w:rPr>
        <w:t>oral, en fonction du souhait de l’élu concerné.</w:t>
      </w:r>
    </w:p>
    <w:p w:rsidR="00EB58A0" w:rsidRPr="00EB58A0" w:rsidRDefault="00EB58A0" w:rsidP="00EB58A0">
      <w:pPr>
        <w:jc w:val="both"/>
        <w:rPr>
          <w:rFonts w:ascii="Calibri" w:hAnsi="Calibri" w:cs="Calibri"/>
          <w:sz w:val="22"/>
          <w:szCs w:val="22"/>
        </w:rPr>
      </w:pPr>
      <w:r w:rsidRPr="00EB58A0">
        <w:rPr>
          <w:rFonts w:ascii="Calibri" w:hAnsi="Calibri" w:cs="Calibri"/>
          <w:sz w:val="22"/>
          <w:szCs w:val="22"/>
        </w:rPr>
        <w:t>Les avis et conseils donnés par le référent déontologue demeurent consultatifs.</w:t>
      </w:r>
    </w:p>
    <w:p w:rsidR="00EB58A0" w:rsidRPr="00EB58A0" w:rsidRDefault="00EB58A0" w:rsidP="00EB58A0">
      <w:pPr>
        <w:jc w:val="both"/>
        <w:rPr>
          <w:rFonts w:ascii="Calibri" w:hAnsi="Calibri" w:cs="Calibri"/>
          <w:b/>
          <w:sz w:val="22"/>
          <w:szCs w:val="22"/>
        </w:rPr>
      </w:pPr>
      <w:r w:rsidRPr="00EB58A0">
        <w:rPr>
          <w:rFonts w:ascii="Calibri" w:hAnsi="Calibri" w:cs="Calibri"/>
          <w:b/>
          <w:sz w:val="22"/>
          <w:szCs w:val="22"/>
        </w:rPr>
        <w:t>Article 4 – Rémunération du Référent déontologue</w:t>
      </w:r>
    </w:p>
    <w:p w:rsidR="00EB58A0" w:rsidRPr="00EB58A0" w:rsidRDefault="00EB58A0" w:rsidP="00EB58A0">
      <w:pPr>
        <w:jc w:val="both"/>
        <w:rPr>
          <w:rFonts w:ascii="Calibri" w:hAnsi="Calibri" w:cs="Calibri"/>
          <w:sz w:val="22"/>
          <w:szCs w:val="22"/>
        </w:rPr>
      </w:pPr>
      <w:r w:rsidRPr="00EB58A0">
        <w:rPr>
          <w:rFonts w:ascii="Calibri" w:hAnsi="Calibri" w:cs="Calibri"/>
          <w:sz w:val="22"/>
          <w:szCs w:val="22"/>
        </w:rPr>
        <w:t>Le référent déontologue sera rémunéré par une indemnité de vacation dont le montant est fixé par dossier traité, conformément à l’arrêté du 6 décembre 2022 pris en application du décret n° 2022-1520 du 6 décembre 2022 relatif au référent déontologue de l’élu local.</w:t>
      </w:r>
    </w:p>
    <w:p w:rsidR="00EB58A0" w:rsidRPr="00EB58A0" w:rsidRDefault="00EB58A0" w:rsidP="00EB58A0">
      <w:pPr>
        <w:jc w:val="both"/>
        <w:rPr>
          <w:rFonts w:ascii="Calibri" w:hAnsi="Calibri" w:cs="Calibri"/>
          <w:sz w:val="22"/>
          <w:szCs w:val="22"/>
        </w:rPr>
      </w:pPr>
      <w:r w:rsidRPr="00EB58A0">
        <w:rPr>
          <w:rFonts w:ascii="Calibri" w:hAnsi="Calibri" w:cs="Calibri"/>
          <w:sz w:val="22"/>
          <w:szCs w:val="22"/>
        </w:rPr>
        <w:t>Cette indemnité sera versée par la commune selon les modalités à déterminer ultérieurement.</w:t>
      </w:r>
    </w:p>
    <w:p w:rsidR="00EB58A0" w:rsidRPr="00EB58A0" w:rsidRDefault="00EB58A0" w:rsidP="00EB58A0">
      <w:pPr>
        <w:jc w:val="both"/>
        <w:rPr>
          <w:rFonts w:ascii="Calibri" w:hAnsi="Calibri" w:cs="Calibri"/>
          <w:sz w:val="22"/>
          <w:szCs w:val="22"/>
        </w:rPr>
      </w:pPr>
      <w:r w:rsidRPr="00EB58A0">
        <w:rPr>
          <w:rFonts w:ascii="Calibri" w:hAnsi="Calibri" w:cs="Calibri"/>
          <w:sz w:val="22"/>
          <w:szCs w:val="22"/>
        </w:rPr>
        <w:t>Des frais éventuels de transport et d’hébergement peuvent être pris en charge en cas de besoin dans les conditions applicables aux personnels de la fonction publique territoriale.</w:t>
      </w:r>
    </w:p>
    <w:p w:rsidR="00EB58A0" w:rsidRPr="00EB58A0" w:rsidRDefault="00EB58A0" w:rsidP="00EB58A0">
      <w:pPr>
        <w:jc w:val="both"/>
        <w:rPr>
          <w:rFonts w:ascii="Calibri" w:hAnsi="Calibri" w:cs="Calibri"/>
          <w:sz w:val="22"/>
          <w:szCs w:val="22"/>
        </w:rPr>
      </w:pPr>
    </w:p>
    <w:p w:rsidR="00EB58A0" w:rsidRPr="00EB58A0" w:rsidRDefault="00EB58A0" w:rsidP="00EB58A0">
      <w:pPr>
        <w:jc w:val="both"/>
        <w:rPr>
          <w:rFonts w:ascii="Calibri" w:hAnsi="Calibri" w:cs="Calibri"/>
          <w:b/>
          <w:sz w:val="22"/>
          <w:szCs w:val="22"/>
        </w:rPr>
      </w:pPr>
      <w:r w:rsidRPr="00EB58A0">
        <w:rPr>
          <w:rFonts w:ascii="Calibri" w:hAnsi="Calibri" w:cs="Calibri"/>
          <w:b/>
          <w:sz w:val="22"/>
          <w:szCs w:val="22"/>
        </w:rPr>
        <w:t xml:space="preserve">Fait </w:t>
      </w:r>
      <w:proofErr w:type="gramStart"/>
      <w:r w:rsidRPr="00EB58A0">
        <w:rPr>
          <w:rFonts w:ascii="Calibri" w:hAnsi="Calibri" w:cs="Calibri"/>
          <w:b/>
          <w:sz w:val="22"/>
          <w:szCs w:val="22"/>
        </w:rPr>
        <w:t>à  …</w:t>
      </w:r>
      <w:proofErr w:type="gramEnd"/>
      <w:r w:rsidRPr="00EB58A0">
        <w:rPr>
          <w:rFonts w:ascii="Calibri" w:hAnsi="Calibri" w:cs="Calibri"/>
          <w:b/>
          <w:sz w:val="22"/>
          <w:szCs w:val="22"/>
        </w:rPr>
        <w:t xml:space="preserve">………………………. </w:t>
      </w:r>
      <w:proofErr w:type="gramStart"/>
      <w:r w:rsidRPr="00EB58A0">
        <w:rPr>
          <w:rFonts w:ascii="Calibri" w:hAnsi="Calibri" w:cs="Calibri"/>
          <w:b/>
          <w:sz w:val="22"/>
          <w:szCs w:val="22"/>
        </w:rPr>
        <w:t>Le  …</w:t>
      </w:r>
      <w:proofErr w:type="gramEnd"/>
      <w:r w:rsidRPr="00EB58A0">
        <w:rPr>
          <w:rFonts w:ascii="Calibri" w:hAnsi="Calibri" w:cs="Calibri"/>
          <w:b/>
          <w:sz w:val="22"/>
          <w:szCs w:val="22"/>
        </w:rPr>
        <w:t>……………………….</w:t>
      </w:r>
    </w:p>
    <w:p w:rsidR="00EB58A0" w:rsidRPr="008C3193" w:rsidRDefault="00EB58A0" w:rsidP="00EB7530">
      <w:pPr>
        <w:rPr>
          <w:rFonts w:ascii="Calibri" w:hAnsi="Calibri" w:cs="Calibri"/>
        </w:rPr>
      </w:pPr>
    </w:p>
    <w:p w:rsidR="00EB7530" w:rsidRPr="008C3193" w:rsidRDefault="00EB7530">
      <w:pPr>
        <w:rPr>
          <w:rFonts w:ascii="Calibri" w:hAnsi="Calibri" w:cs="Calibri"/>
        </w:rPr>
      </w:pPr>
      <w:bookmarkStart w:id="0" w:name="_GoBack"/>
      <w:bookmarkEnd w:id="0"/>
    </w:p>
    <w:sectPr w:rsidR="00EB7530" w:rsidRPr="008C3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93"/>
    <w:rsid w:val="000D7717"/>
    <w:rsid w:val="00131865"/>
    <w:rsid w:val="006E39CB"/>
    <w:rsid w:val="00727FAD"/>
    <w:rsid w:val="007C2159"/>
    <w:rsid w:val="008B6267"/>
    <w:rsid w:val="008C3193"/>
    <w:rsid w:val="009B7377"/>
    <w:rsid w:val="00AD5707"/>
    <w:rsid w:val="00B40E26"/>
    <w:rsid w:val="00BB4420"/>
    <w:rsid w:val="00BD5213"/>
    <w:rsid w:val="00C43F32"/>
    <w:rsid w:val="00EA5CEE"/>
    <w:rsid w:val="00EB58A0"/>
    <w:rsid w:val="00EB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4B4D0-3C12-4D07-A8A7-F7763598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377"/>
  </w:style>
  <w:style w:type="paragraph" w:styleId="Titre1">
    <w:name w:val="heading 1"/>
    <w:basedOn w:val="Normal"/>
    <w:next w:val="Normal"/>
    <w:link w:val="Titre1Car"/>
    <w:uiPriority w:val="9"/>
    <w:qFormat/>
    <w:rsid w:val="009B7377"/>
    <w:pPr>
      <w:pBdr>
        <w:top w:val="single" w:sz="24" w:space="0" w:color="9ACD4C" w:themeColor="accent1"/>
        <w:left w:val="single" w:sz="24" w:space="0" w:color="9ACD4C" w:themeColor="accent1"/>
        <w:bottom w:val="single" w:sz="24" w:space="0" w:color="9ACD4C" w:themeColor="accent1"/>
        <w:right w:val="single" w:sz="24" w:space="0" w:color="9ACD4C" w:themeColor="accent1"/>
      </w:pBdr>
      <w:shd w:val="clear" w:color="auto" w:fill="9ACD4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B7377"/>
    <w:pPr>
      <w:pBdr>
        <w:top w:val="single" w:sz="24" w:space="0" w:color="EAF5DB" w:themeColor="accent1" w:themeTint="33"/>
        <w:left w:val="single" w:sz="24" w:space="0" w:color="EAF5DB" w:themeColor="accent1" w:themeTint="33"/>
        <w:bottom w:val="single" w:sz="24" w:space="0" w:color="EAF5DB" w:themeColor="accent1" w:themeTint="33"/>
        <w:right w:val="single" w:sz="24" w:space="0" w:color="EAF5DB" w:themeColor="accent1" w:themeTint="33"/>
      </w:pBdr>
      <w:shd w:val="clear" w:color="auto" w:fill="EAF5DB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B7377"/>
    <w:pPr>
      <w:pBdr>
        <w:top w:val="single" w:sz="6" w:space="2" w:color="9ACD4C" w:themeColor="accent1"/>
      </w:pBdr>
      <w:spacing w:before="300" w:after="0"/>
      <w:outlineLvl w:val="2"/>
    </w:pPr>
    <w:rPr>
      <w:caps/>
      <w:color w:val="4D6D1E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B7377"/>
    <w:pPr>
      <w:pBdr>
        <w:top w:val="dotted" w:sz="6" w:space="2" w:color="9ACD4C" w:themeColor="accent1"/>
      </w:pBdr>
      <w:spacing w:before="200" w:after="0"/>
      <w:outlineLvl w:val="3"/>
    </w:pPr>
    <w:rPr>
      <w:caps/>
      <w:color w:val="75A42E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B7377"/>
    <w:pPr>
      <w:pBdr>
        <w:bottom w:val="single" w:sz="6" w:space="1" w:color="9ACD4C" w:themeColor="accent1"/>
      </w:pBdr>
      <w:spacing w:before="200" w:after="0"/>
      <w:outlineLvl w:val="4"/>
    </w:pPr>
    <w:rPr>
      <w:caps/>
      <w:color w:val="75A42E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B7377"/>
    <w:pPr>
      <w:pBdr>
        <w:bottom w:val="dotted" w:sz="6" w:space="1" w:color="9ACD4C" w:themeColor="accent1"/>
      </w:pBdr>
      <w:spacing w:before="200" w:after="0"/>
      <w:outlineLvl w:val="5"/>
    </w:pPr>
    <w:rPr>
      <w:caps/>
      <w:color w:val="75A42E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B7377"/>
    <w:pPr>
      <w:spacing w:before="200" w:after="0"/>
      <w:outlineLvl w:val="6"/>
    </w:pPr>
    <w:rPr>
      <w:caps/>
      <w:color w:val="75A42E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B737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B737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B7377"/>
    <w:rPr>
      <w:caps/>
      <w:color w:val="FFFFFF" w:themeColor="background1"/>
      <w:spacing w:val="15"/>
      <w:sz w:val="22"/>
      <w:szCs w:val="22"/>
      <w:shd w:val="clear" w:color="auto" w:fill="9ACD4C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9B7377"/>
    <w:rPr>
      <w:caps/>
      <w:spacing w:val="15"/>
      <w:shd w:val="clear" w:color="auto" w:fill="EAF5DB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9B7377"/>
    <w:rPr>
      <w:caps/>
      <w:color w:val="4D6D1E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9B7377"/>
    <w:rPr>
      <w:caps/>
      <w:color w:val="75A42E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9B7377"/>
    <w:rPr>
      <w:caps/>
      <w:color w:val="75A42E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9B7377"/>
    <w:rPr>
      <w:caps/>
      <w:color w:val="75A42E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9B7377"/>
    <w:rPr>
      <w:caps/>
      <w:color w:val="75A42E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9B7377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9B7377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B7377"/>
    <w:rPr>
      <w:b/>
      <w:bCs/>
      <w:color w:val="75A42E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9B7377"/>
    <w:pPr>
      <w:spacing w:before="0" w:after="0"/>
    </w:pPr>
    <w:rPr>
      <w:rFonts w:asciiTheme="majorHAnsi" w:eastAsiaTheme="majorEastAsia" w:hAnsiTheme="majorHAnsi" w:cstheme="majorBidi"/>
      <w:caps/>
      <w:color w:val="9ACD4C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B7377"/>
    <w:rPr>
      <w:rFonts w:asciiTheme="majorHAnsi" w:eastAsiaTheme="majorEastAsia" w:hAnsiTheme="majorHAnsi" w:cstheme="majorBidi"/>
      <w:caps/>
      <w:color w:val="9ACD4C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B737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9B7377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9B7377"/>
    <w:rPr>
      <w:b/>
      <w:bCs/>
    </w:rPr>
  </w:style>
  <w:style w:type="character" w:styleId="Accentuation">
    <w:name w:val="Emphasis"/>
    <w:uiPriority w:val="20"/>
    <w:qFormat/>
    <w:rsid w:val="009B7377"/>
    <w:rPr>
      <w:caps/>
      <w:color w:val="4D6D1E" w:themeColor="accent1" w:themeShade="7F"/>
      <w:spacing w:val="5"/>
    </w:rPr>
  </w:style>
  <w:style w:type="paragraph" w:styleId="Sansinterligne">
    <w:name w:val="No Spacing"/>
    <w:uiPriority w:val="1"/>
    <w:qFormat/>
    <w:rsid w:val="009B7377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9B7377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9B7377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B7377"/>
    <w:pPr>
      <w:spacing w:before="240" w:after="240" w:line="240" w:lineRule="auto"/>
      <w:ind w:left="1080" w:right="1080"/>
      <w:jc w:val="center"/>
    </w:pPr>
    <w:rPr>
      <w:color w:val="9ACD4C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B7377"/>
    <w:rPr>
      <w:color w:val="9ACD4C" w:themeColor="accent1"/>
      <w:sz w:val="24"/>
      <w:szCs w:val="24"/>
    </w:rPr>
  </w:style>
  <w:style w:type="character" w:styleId="Emphaseple">
    <w:name w:val="Subtle Emphasis"/>
    <w:uiPriority w:val="19"/>
    <w:qFormat/>
    <w:rsid w:val="009B7377"/>
    <w:rPr>
      <w:i/>
      <w:iCs/>
      <w:color w:val="4D6D1E" w:themeColor="accent1" w:themeShade="7F"/>
    </w:rPr>
  </w:style>
  <w:style w:type="character" w:styleId="Emphaseintense">
    <w:name w:val="Intense Emphasis"/>
    <w:uiPriority w:val="21"/>
    <w:qFormat/>
    <w:rsid w:val="009B7377"/>
    <w:rPr>
      <w:b/>
      <w:bCs/>
      <w:caps/>
      <w:color w:val="4D6D1E" w:themeColor="accent1" w:themeShade="7F"/>
      <w:spacing w:val="10"/>
    </w:rPr>
  </w:style>
  <w:style w:type="character" w:styleId="Rfrenceple">
    <w:name w:val="Subtle Reference"/>
    <w:uiPriority w:val="31"/>
    <w:qFormat/>
    <w:rsid w:val="009B7377"/>
    <w:rPr>
      <w:b/>
      <w:bCs/>
      <w:color w:val="9ACD4C" w:themeColor="accent1"/>
    </w:rPr>
  </w:style>
  <w:style w:type="character" w:styleId="Rfrenceintense">
    <w:name w:val="Intense Reference"/>
    <w:uiPriority w:val="32"/>
    <w:qFormat/>
    <w:rsid w:val="009B7377"/>
    <w:rPr>
      <w:b/>
      <w:bCs/>
      <w:i/>
      <w:iCs/>
      <w:caps/>
      <w:color w:val="9ACD4C" w:themeColor="accent1"/>
    </w:rPr>
  </w:style>
  <w:style w:type="character" w:styleId="Titredulivre">
    <w:name w:val="Book Title"/>
    <w:uiPriority w:val="33"/>
    <w:qFormat/>
    <w:rsid w:val="009B7377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B7377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D521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5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">
  <a:themeElements>
    <a:clrScheme name="Circuit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ANDRIEU</dc:creator>
  <cp:keywords/>
  <dc:description/>
  <cp:lastModifiedBy>Marlene Baduel</cp:lastModifiedBy>
  <cp:revision>2</cp:revision>
  <cp:lastPrinted>2023-05-31T08:34:00Z</cp:lastPrinted>
  <dcterms:created xsi:type="dcterms:W3CDTF">2023-05-31T08:35:00Z</dcterms:created>
  <dcterms:modified xsi:type="dcterms:W3CDTF">2023-05-31T08:35:00Z</dcterms:modified>
</cp:coreProperties>
</file>